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56F" w:rsidRPr="00F8656F" w:rsidRDefault="00F8656F" w:rsidP="00F8656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84354819"/>
      <w:r w:rsidRPr="00F8656F">
        <w:rPr>
          <w:rFonts w:ascii="Times New Roman" w:eastAsia="Times New Roman" w:hAnsi="Times New Roman" w:cs="Times New Roman"/>
          <w:sz w:val="24"/>
          <w:szCs w:val="24"/>
        </w:rPr>
        <w:t>/проект, 1-ая редакция/</w:t>
      </w:r>
    </w:p>
    <w:p w:rsidR="00F8656F" w:rsidRPr="00F8656F" w:rsidRDefault="00F8656F" w:rsidP="00F8656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656F">
        <w:rPr>
          <w:rFonts w:ascii="Times New Roman" w:eastAsia="Times New Roman" w:hAnsi="Times New Roman" w:cs="Times New Roman"/>
          <w:b/>
          <w:sz w:val="28"/>
          <w:szCs w:val="28"/>
        </w:rPr>
        <w:t>МЕСТНЫЕ НОРМАТИВЫ</w:t>
      </w:r>
    </w:p>
    <w:p w:rsidR="00F8656F" w:rsidRPr="00F8656F" w:rsidRDefault="00F8656F" w:rsidP="00F8656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656F">
        <w:rPr>
          <w:rFonts w:ascii="Times New Roman" w:eastAsia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F8656F" w:rsidRPr="00F8656F" w:rsidRDefault="00F8656F" w:rsidP="00F8656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4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656F">
        <w:rPr>
          <w:rFonts w:ascii="Times New Roman" w:eastAsia="Times New Roman" w:hAnsi="Times New Roman" w:cs="Times New Roman"/>
          <w:b/>
          <w:sz w:val="28"/>
          <w:szCs w:val="28"/>
        </w:rPr>
        <w:t>ГРУШЕВО-ДУБОВСКОГО СЕЛЬСКОГО ПОСЕЛЕНИЯ</w:t>
      </w:r>
    </w:p>
    <w:p w:rsidR="00F8656F" w:rsidRPr="00F8656F" w:rsidRDefault="00F8656F" w:rsidP="00F8656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656F">
        <w:rPr>
          <w:rFonts w:ascii="Times New Roman" w:eastAsia="Times New Roman" w:hAnsi="Times New Roman" w:cs="Times New Roman"/>
          <w:b/>
          <w:sz w:val="28"/>
          <w:szCs w:val="28"/>
        </w:rPr>
        <w:t>БЕЛОКАЛИТВИНСКОГО РАЙОНА</w:t>
      </w:r>
    </w:p>
    <w:p w:rsidR="00F8656F" w:rsidRPr="00F8656F" w:rsidRDefault="00F8656F" w:rsidP="00F8656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656F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p w:rsidR="00F8656F" w:rsidRPr="00F8656F" w:rsidRDefault="00F8656F" w:rsidP="00F8656F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/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F8656F" w:rsidRPr="00F8656F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r w:rsidRPr="00C72A63">
            <w:fldChar w:fldCharType="begin"/>
          </w:r>
          <w:r w:rsidRPr="00C72A63">
            <w:instrText xml:space="preserve"> TOC \o "1-3" \h \z \u </w:instrText>
          </w:r>
          <w:r w:rsidRPr="00C72A63">
            <w:fldChar w:fldCharType="separate"/>
          </w:r>
          <w:hyperlink w:anchor="_Toc194922688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 xml:space="preserve">Раздел </w:t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  <w:lang w:val="en-US"/>
              </w:rPr>
              <w:t>I</w:t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>. Основная часть местных нормативов градостроительного проектирования муниципального образования «Грушево-Дубовское сельское поселение» Белокалитвинского района Ростовской области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_Toc194922688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89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Общие положения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_Toc194922689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0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2.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 xml:space="preserve">Грушево-Дубовское </w:t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_Toc194922690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1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Транспорт и автомобильные дороги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_Toc194922691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2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Содействие жилищному строительству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_Toc194922692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7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3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Физическая культура и массовый спорт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_Toc194922693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10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4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Культура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_Toc194922694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13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5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Массовый отдых населения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_Toc194922695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15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6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Благоустройство и озеленение территории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_Toc194922696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16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7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Защита и предупреждение чрезвычайных ситуаций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_Toc194922697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18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8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Инженерное обеспечение территорий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_Toc194922698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19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699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_Toc194922699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20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0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Захоронение и ритуальные услуги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_Toc194922700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21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1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_Toc194922701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22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2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3.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Приложения к основной части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_Toc194922702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23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3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Приложение А. Используемые сокращения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_Toc194922703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23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4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Приложение Б. Нормативные ссылки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_Toc194922704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24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11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5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 xml:space="preserve"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</w:t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lastRenderedPageBreak/>
              <w:t>образования «Грушево-Дубовское сельское поселение» Белокалитвинского района Ростовской области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_Toc194922705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27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6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4.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Информация о современном состоянии, прогнозе развития поселения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_Toc194922706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27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7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5.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транспорта и автомобильных дорог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_Toc194922707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28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8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6.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содействия жилищному строительству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_Toc194922708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30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09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7.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физической культуры и массового спорта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_Toc194922709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30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0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8.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культуры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_Toc194922710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31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1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9.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массового отдыха населения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_Toc194922711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32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2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10.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благоустройства и озеленения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_Toc194922712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32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3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11.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_Toc194922713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32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4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12.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инженерного обеспечения территорий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_Toc194922714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33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5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13.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_Toc194922715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34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6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14.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_Toc194922716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35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7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15.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_Toc194922717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36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11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8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«Грушево-Дубовское сельское поселение» Белокалитвинского района Ростовской области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_Toc194922718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37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Pr="00F8656F" w:rsidRDefault="00A3331B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719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16.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Правила применения расчетных показателей настоящих Нормативов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_Toc194922719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37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8656F" w:rsidRDefault="00A3331B">
          <w:pPr>
            <w:pStyle w:val="23"/>
            <w:rPr>
              <w:rFonts w:eastAsiaTheme="minorEastAsia"/>
              <w:noProof/>
              <w:lang w:eastAsia="ru-RU"/>
            </w:rPr>
          </w:pPr>
          <w:hyperlink w:anchor="_Toc194922720" w:history="1"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17.</w:t>
            </w:r>
            <w:r w:rsidR="00F8656F" w:rsidRPr="00F8656F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8656F" w:rsidRPr="00F8656F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Область применения расчетных показателей настоящих Нормативов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_Toc194922720 \h </w:instrTex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37</w:t>
            </w:r>
            <w:r w:rsidR="00F8656F" w:rsidRPr="00F8656F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22B77" w:rsidRPr="00C22B77" w:rsidRDefault="00C22B77">
          <w:r w:rsidRPr="00C72A63">
            <w:rPr>
              <w:bCs/>
            </w:rPr>
            <w:fldChar w:fldCharType="end"/>
          </w:r>
        </w:p>
      </w:sdtContent>
    </w:sdt>
    <w:p w:rsidR="00C22B77" w:rsidRDefault="00C22B77">
      <w:pPr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r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br w:type="page"/>
      </w:r>
    </w:p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922688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DD508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Грушево-Дубовское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92268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DD508D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Грушево-Дубовского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35659A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из затрат на достижение выбранного объекта (как правило, затрат времени),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922690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DD508D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Грушево-Дубовское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92269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92269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A3331B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A3331B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A3331B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922693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922694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35659A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922695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922696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92269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922698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922699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922700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92270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922702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92270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92270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A3331B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A3331B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A3331B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A3331B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A3331B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A3331B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922705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DD508D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Грушево-Дубовское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DD508D" w:rsidRPr="00962831" w:rsidRDefault="00DD508D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922706"/>
      <w:bookmarkStart w:id="38" w:name="_Toc184354838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Грушево-Дубовское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сельское поселение расположено в южной части Белокалитвинского района Ростовской области и граничит на севере с Богураевским сельским поселением, на западе с Красносулинским районом, на юге с Усть-Донецком районом, на востоке с Синегорским сельским поселением.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Грушево-Дубовского сельского поселения протекает река Кундрючья.</w:t>
      </w:r>
    </w:p>
    <w:p w:rsidR="00DD508D" w:rsidRPr="00F5356F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177 км., до г. Белая Калитва 65 км.</w:t>
      </w:r>
    </w:p>
    <w:p w:rsidR="00DD508D" w:rsidRPr="00971D5A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591B2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Pr="00591B21">
        <w:rPr>
          <w:rFonts w:ascii="Times New Roman" w:hAnsi="Times New Roman"/>
          <w:sz w:val="28"/>
          <w:szCs w:val="28"/>
        </w:rPr>
        <w:t> </w:t>
      </w:r>
      <w:r>
        <w:rPr>
          <w:rFonts w:ascii="Times New Roman" w:hAnsi="Times New Roman"/>
          <w:sz w:val="28"/>
          <w:szCs w:val="28"/>
        </w:rPr>
        <w:t>765</w:t>
      </w:r>
      <w:r w:rsidRPr="00591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га.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1 945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6 населённых пунктов: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х. Голубинка</w:t>
      </w:r>
      <w:r w:rsidRPr="00591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(635</w:t>
      </w:r>
      <w:r w:rsidRPr="00697820">
        <w:rPr>
          <w:rStyle w:val="afd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чел.);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х. Грушевка </w:t>
      </w:r>
      <w:r w:rsidRPr="00697820">
        <w:rPr>
          <w:rFonts w:ascii="Times New Roman" w:hAnsi="Times New Roman"/>
          <w:sz w:val="28"/>
          <w:szCs w:val="28"/>
        </w:rPr>
        <w:t>(558 чел</w:t>
      </w:r>
      <w:r>
        <w:rPr>
          <w:rFonts w:ascii="Times New Roman" w:hAnsi="Times New Roman"/>
          <w:sz w:val="28"/>
          <w:szCs w:val="28"/>
        </w:rPr>
        <w:t>.);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х. Чернышев (369 чел.);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х.</w:t>
      </w:r>
      <w:r w:rsidRPr="00591B21">
        <w:t xml:space="preserve"> </w:t>
      </w:r>
      <w:r>
        <w:rPr>
          <w:rFonts w:ascii="Times New Roman" w:hAnsi="Times New Roman"/>
          <w:sz w:val="28"/>
          <w:szCs w:val="28"/>
        </w:rPr>
        <w:t>Семимаячный (189 чел.);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х. Дубовой (156 чел.);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х. Казьминка (104 чел.).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4 ед.;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2 ед.;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общеобразовательных организаций 3 ед.;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стадионов 2 ед.;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2 ед.;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4 ед.;</w:t>
      </w:r>
    </w:p>
    <w:p w:rsidR="00DD508D" w:rsidRDefault="00DD508D" w:rsidP="00DD508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2 ед.</w:t>
      </w:r>
      <w:r>
        <w:rPr>
          <w:rStyle w:val="afd"/>
          <w:rFonts w:ascii="Times New Roman" w:hAnsi="Times New Roman"/>
          <w:sz w:val="28"/>
          <w:szCs w:val="28"/>
        </w:rPr>
        <w:footnoteReference w:id="3"/>
      </w:r>
    </w:p>
    <w:p w:rsidR="00562EC9" w:rsidRPr="00562EC9" w:rsidRDefault="00562EC9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9" w:name="_Toc19492270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321D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</w:t>
            </w:r>
            <w:bookmarkStart w:id="40" w:name="_GoBack"/>
            <w:bookmarkEnd w:id="40"/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площадками для межрейсового отстоя транспорта на маршрутах регулярных перевозок определяется целевым способом исходя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>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1" w:name="_Toc184354839"/>
      <w:bookmarkStart w:id="42" w:name="_Toc194922708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1"/>
      <w:bookmarkEnd w:id="42"/>
    </w:p>
    <w:p w:rsidR="00740C51" w:rsidRPr="006E2A27" w:rsidRDefault="00740C51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54840"/>
      <w:bookmarkStart w:id="44" w:name="_Toc19492270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3"/>
      <w:bookmarkEnd w:id="44"/>
    </w:p>
    <w:p w:rsidR="0048012A" w:rsidRPr="00135606" w:rsidRDefault="00586299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54841"/>
      <w:bookmarkStart w:id="46" w:name="_Toc19492271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5"/>
      <w:bookmarkEnd w:id="46"/>
    </w:p>
    <w:p w:rsidR="00B04C60" w:rsidRPr="00B04C60" w:rsidRDefault="00B04C60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>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84354842"/>
      <w:bookmarkStart w:id="48" w:name="_Toc19492271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7"/>
      <w:bookmarkEnd w:id="48"/>
    </w:p>
    <w:p w:rsidR="00F24A9C" w:rsidRDefault="00F24A9C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DD508D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9" w:name="_Toc184354846"/>
      <w:bookmarkStart w:id="50" w:name="_Toc19492271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9"/>
      <w:bookmarkEnd w:id="50"/>
    </w:p>
    <w:p w:rsidR="003242CF" w:rsidRPr="00B04C60" w:rsidRDefault="003242CF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1" w:name="_Toc184354844"/>
      <w:bookmarkStart w:id="52" w:name="_Toc19492271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1"/>
      <w:bookmarkEnd w:id="52"/>
    </w:p>
    <w:p w:rsidR="00A67C37" w:rsidRPr="00707CF4" w:rsidRDefault="00A67C37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>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DD508D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54843"/>
      <w:bookmarkStart w:id="54" w:name="_Toc19492271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3"/>
      <w:bookmarkEnd w:id="54"/>
    </w:p>
    <w:p w:rsidR="0083053C" w:rsidRPr="00DB40D8" w:rsidRDefault="0083053C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DD508D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5" w:name="_Toc184354845"/>
      <w:bookmarkStart w:id="56" w:name="_Toc19492271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5"/>
      <w:bookmarkEnd w:id="56"/>
    </w:p>
    <w:p w:rsidR="00F02DA0" w:rsidRPr="00B04C60" w:rsidRDefault="00F02DA0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DD508D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7" w:name="_Toc184354847"/>
      <w:bookmarkStart w:id="58" w:name="_Toc19492271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7"/>
      <w:bookmarkEnd w:id="58"/>
    </w:p>
    <w:p w:rsidR="00E918DC" w:rsidRPr="00B04C60" w:rsidRDefault="00E918DC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DD508D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DD508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DD508D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9" w:name="_Toc19492271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9"/>
    </w:p>
    <w:p w:rsidR="00A67C37" w:rsidRPr="00B04C60" w:rsidRDefault="00A67C37" w:rsidP="00DD508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60" w:name="_Toc184354848"/>
      <w:bookmarkStart w:id="61" w:name="_Toc19492271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DD508D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Грушево-Дубовское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60"/>
      <w:bookmarkEnd w:id="61"/>
    </w:p>
    <w:p w:rsidR="00077447" w:rsidRPr="00562EC9" w:rsidRDefault="00077447" w:rsidP="00DD508D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2" w:name="_Toc184354849"/>
      <w:bookmarkStart w:id="63" w:name="_Toc19492271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2"/>
      <w:bookmarkEnd w:id="6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DD508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DD508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DD508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DD508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DD508D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4" w:name="_Toc184354850"/>
      <w:bookmarkStart w:id="65" w:name="_Toc19492272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4"/>
      <w:bookmarkEnd w:id="65"/>
    </w:p>
    <w:p w:rsidR="008B4074" w:rsidRPr="0006237E" w:rsidRDefault="008B4074" w:rsidP="00DD508D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31B" w:rsidRDefault="00A3331B">
      <w:pPr>
        <w:spacing w:after="0" w:line="240" w:lineRule="auto"/>
      </w:pPr>
      <w:r>
        <w:separator/>
      </w:r>
    </w:p>
  </w:endnote>
  <w:endnote w:type="continuationSeparator" w:id="0">
    <w:p w:rsidR="00A3331B" w:rsidRDefault="00A3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D69">
          <w:rPr>
            <w:noProof/>
          </w:rPr>
          <w:t>29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31B" w:rsidRDefault="00A3331B">
      <w:pPr>
        <w:spacing w:after="0" w:line="240" w:lineRule="auto"/>
      </w:pPr>
      <w:r>
        <w:separator/>
      </w:r>
    </w:p>
  </w:footnote>
  <w:footnote w:type="continuationSeparator" w:id="0">
    <w:p w:rsidR="00A3331B" w:rsidRDefault="00A3331B">
      <w:pPr>
        <w:spacing w:after="0" w:line="240" w:lineRule="auto"/>
      </w:pPr>
      <w:r>
        <w:continuationSeparator/>
      </w:r>
    </w:p>
  </w:footnote>
  <w:footnote w:id="1">
    <w:p w:rsidR="00DD508D" w:rsidRDefault="00DD508D" w:rsidP="00DD508D">
      <w:pPr>
        <w:pStyle w:val="afb"/>
      </w:pPr>
      <w:r>
        <w:rPr>
          <w:rStyle w:val="afd"/>
        </w:rPr>
        <w:footnoteRef/>
      </w:r>
      <w:r>
        <w:t xml:space="preserve"> БД ПМО Ростовской области Росстата РФ</w:t>
      </w:r>
    </w:p>
  </w:footnote>
  <w:footnote w:id="2">
    <w:p w:rsidR="00DD508D" w:rsidRDefault="00DD508D" w:rsidP="00DD508D">
      <w:pPr>
        <w:pStyle w:val="afb"/>
      </w:pPr>
      <w:r w:rsidRPr="00697820">
        <w:rPr>
          <w:rStyle w:val="afd"/>
        </w:rPr>
        <w:footnoteRef/>
      </w:r>
      <w:r w:rsidRPr="00697820">
        <w:t xml:space="preserve"> Численность населения заимствована из паспорта муниципального образования «</w:t>
      </w:r>
      <w:r>
        <w:t xml:space="preserve">Грушево-Дубовское </w:t>
      </w:r>
      <w:r w:rsidRPr="00697820">
        <w:t>сельское поселение» Белокалитвинского района</w:t>
      </w:r>
    </w:p>
  </w:footnote>
  <w:footnote w:id="3">
    <w:p w:rsidR="00DD508D" w:rsidRDefault="00DD508D" w:rsidP="00DD508D">
      <w:pPr>
        <w:pStyle w:val="afb"/>
      </w:pPr>
      <w:r>
        <w:rPr>
          <w:rStyle w:val="afd"/>
        </w:rPr>
        <w:footnoteRef/>
      </w:r>
      <w:r>
        <w:t xml:space="preserve"> З</w:t>
      </w:r>
      <w:r w:rsidRPr="00697820">
        <w:t>аимствован</w:t>
      </w:r>
      <w:r>
        <w:t xml:space="preserve">о </w:t>
      </w:r>
      <w:r w:rsidRPr="00697820">
        <w:t>из паспорта муниципального образования «</w:t>
      </w:r>
      <w:r>
        <w:t xml:space="preserve">Грушево-Дубовское </w:t>
      </w:r>
      <w:r w:rsidRPr="00697820">
        <w:t>сельское поселение» Белокалитвинского района</w:t>
      </w:r>
    </w:p>
    <w:p w:rsidR="00DD508D" w:rsidRDefault="00DD508D" w:rsidP="00DD508D">
      <w:pPr>
        <w:pStyle w:val="afb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05435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14"/>
  </w:num>
  <w:num w:numId="4">
    <w:abstractNumId w:val="26"/>
  </w:num>
  <w:num w:numId="5">
    <w:abstractNumId w:val="30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21"/>
  </w:num>
  <w:num w:numId="11">
    <w:abstractNumId w:val="28"/>
  </w:num>
  <w:num w:numId="12">
    <w:abstractNumId w:val="18"/>
  </w:num>
  <w:num w:numId="13">
    <w:abstractNumId w:val="25"/>
  </w:num>
  <w:num w:numId="14">
    <w:abstractNumId w:val="20"/>
  </w:num>
  <w:num w:numId="15">
    <w:abstractNumId w:val="19"/>
  </w:num>
  <w:num w:numId="16">
    <w:abstractNumId w:val="16"/>
  </w:num>
  <w:num w:numId="17">
    <w:abstractNumId w:val="23"/>
  </w:num>
  <w:num w:numId="18">
    <w:abstractNumId w:val="9"/>
  </w:num>
  <w:num w:numId="19">
    <w:abstractNumId w:val="12"/>
  </w:num>
  <w:num w:numId="20">
    <w:abstractNumId w:val="15"/>
  </w:num>
  <w:num w:numId="21">
    <w:abstractNumId w:val="13"/>
  </w:num>
  <w:num w:numId="22">
    <w:abstractNumId w:val="6"/>
  </w:num>
  <w:num w:numId="23">
    <w:abstractNumId w:val="22"/>
  </w:num>
  <w:num w:numId="24">
    <w:abstractNumId w:val="10"/>
  </w:num>
  <w:num w:numId="25">
    <w:abstractNumId w:val="29"/>
  </w:num>
  <w:num w:numId="26">
    <w:abstractNumId w:val="3"/>
  </w:num>
  <w:num w:numId="27">
    <w:abstractNumId w:val="27"/>
  </w:num>
  <w:num w:numId="28">
    <w:abstractNumId w:val="24"/>
  </w:num>
  <w:num w:numId="29">
    <w:abstractNumId w:val="11"/>
  </w:num>
  <w:num w:numId="30">
    <w:abstractNumId w:val="7"/>
  </w:num>
  <w:num w:numId="31">
    <w:abstractNumId w:val="3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1D69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59A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27C41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0FA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331B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53F8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08D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6F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ABE09-A564-499A-8D1B-ACA9B2E4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B62B3-1660-4744-963D-C3C123455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10824</Words>
  <Characters>61700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6</cp:revision>
  <cp:lastPrinted>2025-04-07T08:49:00Z</cp:lastPrinted>
  <dcterms:created xsi:type="dcterms:W3CDTF">2025-04-07T08:50:00Z</dcterms:created>
  <dcterms:modified xsi:type="dcterms:W3CDTF">2025-04-14T08:51:00Z</dcterms:modified>
</cp:coreProperties>
</file>